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AC" w:rsidRDefault="00A41A00">
      <w:r>
        <w:rPr>
          <w:noProof/>
          <w:lang w:eastAsia="fr-FR"/>
        </w:rPr>
        <w:pict>
          <v:rect id="_x0000_s1027" style="position:absolute;margin-left:104.95pt;margin-top:-24.2pt;width:219.65pt;height:163.9pt;z-index:251659264" strokecolor="white [3212]">
            <v:textbox style="mso-next-textbox:#_x0000_s1027">
              <w:txbxContent>
                <w:p w:rsidR="00F539CC" w:rsidRPr="00FC5363" w:rsidRDefault="00105CF8" w:rsidP="0081015B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 w:line="240" w:lineRule="auto"/>
                    <w:ind w:left="0" w:hanging="76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 w:rsidRPr="00FC5363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Voie métaboliques du paracétamol :</w:t>
                  </w:r>
                </w:p>
                <w:p w:rsidR="003922A5" w:rsidRPr="00402182" w:rsidRDefault="003922A5" w:rsidP="0081015B">
                  <w:pPr>
                    <w:pStyle w:val="Paragraphedeliste"/>
                    <w:tabs>
                      <w:tab w:val="left" w:pos="142"/>
                    </w:tabs>
                    <w:spacing w:after="0" w:line="240" w:lineRule="auto"/>
                    <w:ind w:left="0"/>
                    <w:rPr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</w:pPr>
                </w:p>
                <w:p w:rsidR="00105CF8" w:rsidRPr="00105CF8" w:rsidRDefault="00105CF8" w:rsidP="00105CF8">
                  <w:pPr>
                    <w:rPr>
                      <w:b/>
                      <w:bCs/>
                    </w:rPr>
                  </w:pPr>
                  <w:r w:rsidRPr="00105CF8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40591" cy="1759789"/>
                        <wp:effectExtent l="0" t="0" r="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0229" cy="1767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19.45pt;margin-top:-24.2pt;width:220.15pt;height:197.25pt;z-index:251660288" filled="f" stroked="f" strokecolor="white [3212]">
            <v:textbox style="mso-next-textbox:#_x0000_s1028">
              <w:txbxContent>
                <w:p w:rsidR="00105CF8" w:rsidRPr="00FC5363" w:rsidRDefault="00105CF8" w:rsidP="006673D9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ind w:left="0" w:right="-34" w:hanging="76"/>
                    <w:rPr>
                      <w:b/>
                      <w:bCs/>
                      <w:color w:val="FF0000"/>
                      <w:sz w:val="24"/>
                      <w:szCs w:val="24"/>
                      <w:u w:val="single"/>
                    </w:rPr>
                  </w:pPr>
                  <w:r w:rsidRPr="00FC5363">
                    <w:rPr>
                      <w:b/>
                      <w:bCs/>
                      <w:color w:val="FF0000"/>
                      <w:sz w:val="24"/>
                      <w:szCs w:val="24"/>
                      <w:u w:val="single"/>
                    </w:rPr>
                    <w:t>Physiopathologie :</w:t>
                  </w:r>
                </w:p>
                <w:p w:rsidR="00105CF8" w:rsidRPr="00183F68" w:rsidRDefault="00105CF8" w:rsidP="0081015B">
                  <w:pPr>
                    <w:spacing w:after="0"/>
                    <w:ind w:right="-34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83F68">
                    <w:rPr>
                      <w:rFonts w:asciiTheme="majorHAnsi" w:hAnsiTheme="majorHAnsi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>
                        <wp:extent cx="2241124" cy="1324099"/>
                        <wp:effectExtent l="19050" t="0" r="6776" b="0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3984" cy="13257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5CF8" w:rsidRPr="006673D9" w:rsidRDefault="00105CF8" w:rsidP="0081015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34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Toxicité augmentée</w:t>
                  </w: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: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 xml:space="preserve"> inducteurs </w:t>
                  </w:r>
                  <w:proofErr w:type="spellStart"/>
                  <w:r w:rsidR="00183F68" w:rsidRPr="006673D9">
                    <w:rPr>
                      <w:rFonts w:ascii="Cambria Math" w:hAnsi="Cambria Math"/>
                      <w:sz w:val="20"/>
                      <w:szCs w:val="20"/>
                    </w:rPr>
                    <w:t>enz</w:t>
                  </w:r>
                  <w:proofErr w:type="spellEnd"/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(barbituriques, alcool).</w:t>
                  </w:r>
                </w:p>
                <w:p w:rsidR="00105CF8" w:rsidRPr="006673D9" w:rsidRDefault="00105CF8" w:rsidP="006673D9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34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Toxicité diminuée</w:t>
                  </w: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: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 xml:space="preserve"> précurseurs du GSH  (méthionine, </w:t>
                  </w:r>
                  <w:proofErr w:type="spellStart"/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Nacétylcystéine</w:t>
                  </w:r>
                  <w:proofErr w:type="spellEnd"/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)</w:t>
                  </w:r>
                </w:p>
                <w:p w:rsidR="00105CF8" w:rsidRDefault="00105CF8" w:rsidP="006673D9">
                  <w:pPr>
                    <w:ind w:right="-34"/>
                  </w:pP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6" style="position:absolute;margin-left:-66.1pt;margin-top:-64.75pt;width:582.8pt;height:773.6pt;z-index:251658240" strokecolor="white [3212]">
            <v:textbox style="mso-next-textbox:#_x0000_s1026">
              <w:txbxContent>
                <w:p w:rsidR="00CA3434" w:rsidRPr="0041621F" w:rsidRDefault="00CA3434" w:rsidP="0041621F">
                  <w:pPr>
                    <w:jc w:val="center"/>
                    <w:rPr>
                      <w:b/>
                      <w:bCs/>
                      <w:color w:val="92D050"/>
                      <w:sz w:val="32"/>
                      <w:szCs w:val="32"/>
                    </w:rPr>
                  </w:pPr>
                  <w:r w:rsidRPr="0041621F">
                    <w:rPr>
                      <w:b/>
                      <w:bCs/>
                      <w:color w:val="92D050"/>
                      <w:sz w:val="32"/>
                      <w:szCs w:val="32"/>
                      <w:bdr w:val="single" w:sz="18" w:space="0" w:color="365F91" w:themeColor="accent1" w:themeShade="BF"/>
                    </w:rPr>
                    <w:t>Intoxication aigue par paracétamol</w:t>
                  </w:r>
                </w:p>
                <w:p w:rsidR="00150041" w:rsidRPr="0081015B" w:rsidRDefault="00A9712A" w:rsidP="0081015B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 w:line="240" w:lineRule="auto"/>
                    <w:ind w:left="0" w:hanging="76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 w:rsidRPr="0081015B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Introduction :</w:t>
                  </w:r>
                </w:p>
                <w:p w:rsidR="00F65552" w:rsidRPr="00814ACA" w:rsidRDefault="00F65552" w:rsidP="00810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18"/>
                      <w:szCs w:val="18"/>
                    </w:rPr>
                  </w:pPr>
                  <w:r w:rsidRPr="00814ACA">
                    <w:rPr>
                      <w:rFonts w:ascii="Cambria Math" w:hAnsi="Cambria Math"/>
                      <w:sz w:val="18"/>
                      <w:szCs w:val="18"/>
                    </w:rPr>
                    <w:t>Intoxications accidentelles chez l’enfant,</w:t>
                  </w:r>
                </w:p>
                <w:p w:rsidR="00814ACA" w:rsidRDefault="00F65552" w:rsidP="00F655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18"/>
                      <w:szCs w:val="18"/>
                    </w:rPr>
                  </w:pPr>
                  <w:r w:rsidRPr="00814ACA">
                    <w:rPr>
                      <w:rFonts w:ascii="Cambria Math" w:hAnsi="Cambria Math"/>
                      <w:sz w:val="18"/>
                      <w:szCs w:val="18"/>
                    </w:rPr>
                    <w:t xml:space="preserve">surtout volontaires chez l’adulte, parfois </w:t>
                  </w:r>
                </w:p>
                <w:p w:rsidR="00F65552" w:rsidRPr="00814ACA" w:rsidRDefault="00F65552" w:rsidP="00814A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18"/>
                      <w:szCs w:val="18"/>
                    </w:rPr>
                  </w:pPr>
                  <w:r w:rsidRPr="00814ACA">
                    <w:rPr>
                      <w:rFonts w:ascii="Cambria Math" w:hAnsi="Cambria Math"/>
                      <w:sz w:val="18"/>
                      <w:szCs w:val="18"/>
                    </w:rPr>
                    <w:t>très</w:t>
                  </w:r>
                  <w:r w:rsidR="00814ACA">
                    <w:rPr>
                      <w:rFonts w:ascii="Cambria Math" w:hAnsi="Cambria Math"/>
                      <w:sz w:val="18"/>
                      <w:szCs w:val="18"/>
                    </w:rPr>
                    <w:t xml:space="preserve"> </w:t>
                  </w:r>
                  <w:r w:rsidRPr="00814ACA">
                    <w:rPr>
                      <w:rFonts w:ascii="Cambria Math" w:hAnsi="Cambria Math"/>
                      <w:sz w:val="18"/>
                      <w:szCs w:val="18"/>
                    </w:rPr>
                    <w:t>graves voire mortelle.</w:t>
                  </w:r>
                </w:p>
                <w:p w:rsidR="00F65552" w:rsidRPr="006673D9" w:rsidRDefault="00F65552" w:rsidP="00F655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 xml:space="preserve">Métabolisme : </w:t>
                  </w:r>
                </w:p>
                <w:p w:rsidR="00F65552" w:rsidRPr="006673D9" w:rsidRDefault="00F65552" w:rsidP="00F65552">
                  <w:pPr>
                    <w:pStyle w:val="Paragraphedeliste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Absorption 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: rapide , quasi-totale</w:t>
                  </w:r>
                </w:p>
                <w:p w:rsidR="00F65552" w:rsidRPr="006673D9" w:rsidRDefault="00F65552" w:rsidP="00F65552">
                  <w:pPr>
                    <w:pStyle w:val="Paragraphedeliste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Pic plasmatique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: 30 - 60 min</w:t>
                  </w:r>
                </w:p>
                <w:p w:rsidR="00F65552" w:rsidRPr="006673D9" w:rsidRDefault="00F65552" w:rsidP="00F65552">
                  <w:pPr>
                    <w:pStyle w:val="Paragraphedeliste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LPP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> : faible</w:t>
                  </w:r>
                </w:p>
                <w:p w:rsidR="00F65552" w:rsidRPr="006673D9" w:rsidRDefault="00F65552" w:rsidP="00F65552">
                  <w:pPr>
                    <w:pStyle w:val="Paragraphedeliste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T1/2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 xml:space="preserve"> = 2 H</w:t>
                  </w:r>
                </w:p>
                <w:p w:rsidR="000B7934" w:rsidRPr="006673D9" w:rsidRDefault="00F65552" w:rsidP="00150041">
                  <w:pPr>
                    <w:pStyle w:val="Paragraphedeliste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6673D9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Distribution</w:t>
                  </w:r>
                  <w:r w:rsidRPr="006673D9">
                    <w:rPr>
                      <w:rFonts w:ascii="Cambria Math" w:hAnsi="Cambria Math"/>
                      <w:sz w:val="20"/>
                      <w:szCs w:val="20"/>
                    </w:rPr>
                    <w:t xml:space="preserve"> : foie , rein</w:t>
                  </w:r>
                </w:p>
                <w:p w:rsidR="00150041" w:rsidRDefault="00150041" w:rsidP="00150041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</w:pPr>
                </w:p>
                <w:p w:rsidR="00150041" w:rsidRDefault="00150041" w:rsidP="00150041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</w:pPr>
                </w:p>
                <w:p w:rsidR="00180B1E" w:rsidRDefault="00180B1E" w:rsidP="00150041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</w:pPr>
                </w:p>
                <w:p w:rsidR="004C7878" w:rsidRPr="000B7934" w:rsidRDefault="004C7878" w:rsidP="00150041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</w:pPr>
                </w:p>
                <w:p w:rsidR="000B7934" w:rsidRPr="0081015B" w:rsidRDefault="006F6351" w:rsidP="0081015B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 w:line="240" w:lineRule="auto"/>
                    <w:ind w:left="0" w:hanging="76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 w:rsidRPr="0081015B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 xml:space="preserve">Symptomatologie :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3338"/>
                    <w:gridCol w:w="3395"/>
                    <w:gridCol w:w="4647"/>
                  </w:tblGrid>
                  <w:tr w:rsidR="00105CF8" w:rsidTr="0081015B">
                    <w:trPr>
                      <w:trHeight w:val="185"/>
                    </w:trPr>
                    <w:tc>
                      <w:tcPr>
                        <w:tcW w:w="3338" w:type="dxa"/>
                      </w:tcPr>
                      <w:p w:rsidR="00105CF8" w:rsidRPr="00A9712A" w:rsidRDefault="00105CF8" w:rsidP="00A9712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00B050"/>
                            <w:u w:val="single"/>
                          </w:rPr>
                        </w:pPr>
                        <w:r w:rsidRPr="00A9712A">
                          <w:rPr>
                            <w:b/>
                            <w:bCs/>
                            <w:color w:val="00B050"/>
                            <w:u w:val="single"/>
                          </w:rPr>
                          <w:t>Phase I : 2 à 12 h après ingestion :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105CF8" w:rsidRPr="00A9712A" w:rsidRDefault="00105CF8" w:rsidP="00A9712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00B050"/>
                            <w:u w:val="single"/>
                          </w:rPr>
                        </w:pPr>
                        <w:r w:rsidRPr="00A9712A">
                          <w:rPr>
                            <w:b/>
                            <w:bCs/>
                            <w:color w:val="00B050"/>
                            <w:u w:val="single"/>
                          </w:rPr>
                          <w:t>Phase II : à partir de la 24ème H</w:t>
                        </w:r>
                      </w:p>
                    </w:tc>
                    <w:tc>
                      <w:tcPr>
                        <w:tcW w:w="4647" w:type="dxa"/>
                      </w:tcPr>
                      <w:p w:rsidR="00105CF8" w:rsidRPr="00A9712A" w:rsidRDefault="00C7366B" w:rsidP="00A9712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00B050"/>
                            <w:u w:val="single"/>
                          </w:rPr>
                        </w:pPr>
                        <w:r w:rsidRPr="00A9712A">
                          <w:rPr>
                            <w:b/>
                            <w:bCs/>
                            <w:color w:val="00B050"/>
                            <w:u w:val="single"/>
                          </w:rPr>
                          <w:t>Phase III</w:t>
                        </w:r>
                      </w:p>
                    </w:tc>
                  </w:tr>
                  <w:tr w:rsidR="00105CF8" w:rsidTr="0081015B">
                    <w:trPr>
                      <w:trHeight w:val="1627"/>
                    </w:trPr>
                    <w:tc>
                      <w:tcPr>
                        <w:tcW w:w="3338" w:type="dxa"/>
                      </w:tcPr>
                      <w:p w:rsidR="00C7366B" w:rsidRPr="006673D9" w:rsidRDefault="00A9712A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color w:val="92D050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color w:val="92D050"/>
                            <w:sz w:val="20"/>
                            <w:szCs w:val="20"/>
                          </w:rPr>
                          <w:t>Asymptomatique</w:t>
                        </w:r>
                      </w:p>
                      <w:p w:rsidR="00105CF8" w:rsidRPr="006673D9" w:rsidRDefault="00C7366B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proofErr w:type="spellStart"/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tb</w:t>
                        </w:r>
                        <w:proofErr w:type="spellEnd"/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 digestifs :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nausées, </w:t>
                        </w:r>
                        <w:r w:rsidR="00105CF8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vomissements, douleurs </w:t>
                        </w:r>
                      </w:p>
                      <w:p w:rsidR="00105CF8" w:rsidRPr="006673D9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Conscience</w:t>
                        </w:r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 : normale</w:t>
                        </w:r>
                      </w:p>
                      <w:p w:rsidR="003C24B0" w:rsidRPr="006673D9" w:rsidRDefault="003C24B0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</w:p>
                      <w:p w:rsidR="00C7366B" w:rsidRPr="006673D9" w:rsidRDefault="00C7366B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1éres manifestations </w:t>
                        </w:r>
                        <w:r w:rsidR="00105CF8"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biologiques:</w:t>
                        </w:r>
                      </w:p>
                      <w:p w:rsidR="00C7366B" w:rsidRPr="006673D9" w:rsidRDefault="00C7366B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élévation  transaminases en 12-24 h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105CF8" w:rsidRPr="006673D9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Signes digestifs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accentués</w:t>
                        </w:r>
                      </w:p>
                      <w:p w:rsidR="00105CF8" w:rsidRPr="006673D9" w:rsidRDefault="00105CF8" w:rsidP="0081015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70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Signes biologiques</w:t>
                        </w:r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 : 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cytolyse hépatique </w:t>
                        </w:r>
                      </w:p>
                      <w:p w:rsidR="00105CF8" w:rsidRPr="006673D9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atteinte rénale</w:t>
                        </w:r>
                      </w:p>
                      <w:p w:rsidR="00C7366B" w:rsidRPr="006673D9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Signes généraux</w:t>
                        </w:r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: 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somnolence, confusion, hyperthermie, sueurs.</w:t>
                        </w:r>
                      </w:p>
                    </w:tc>
                    <w:tc>
                      <w:tcPr>
                        <w:tcW w:w="4647" w:type="dxa"/>
                      </w:tcPr>
                      <w:p w:rsidR="00105CF8" w:rsidRPr="006673D9" w:rsidRDefault="00105CF8" w:rsidP="0081015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100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Hépatite cytolytique</w:t>
                        </w:r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 :  ictère</w:t>
                        </w:r>
                        <w:r w:rsidR="003C24B0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, </w:t>
                        </w:r>
                        <w:r w:rsidR="0081015B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douleurs de </w:t>
                        </w:r>
                        <w:r w:rsidR="003C24B0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l’hypocondre droit</w:t>
                        </w:r>
                      </w:p>
                      <w:p w:rsidR="00105CF8" w:rsidRPr="006673D9" w:rsidRDefault="00C7366B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proofErr w:type="spellStart"/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sd</w:t>
                        </w:r>
                        <w:proofErr w:type="spellEnd"/>
                        <w:r w:rsidR="00105CF8"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 hémorragique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 : </w:t>
                        </w:r>
                        <w:proofErr w:type="spellStart"/>
                        <w:r w:rsidR="00105CF8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CIVD,hypoglycémie</w:t>
                        </w:r>
                        <w:proofErr w:type="spellEnd"/>
                      </w:p>
                      <w:p w:rsidR="00C7366B" w:rsidRPr="0081015B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color w:val="31849B" w:themeColor="accent5" w:themeShade="BF"/>
                            <w:sz w:val="20"/>
                            <w:szCs w:val="20"/>
                            <w:u w:val="single"/>
                          </w:rPr>
                        </w:pPr>
                        <w:r w:rsidRPr="0081015B">
                          <w:rPr>
                            <w:rFonts w:ascii="Cambria Math" w:hAnsi="Cambria Math"/>
                            <w:b/>
                            <w:bCs/>
                            <w:color w:val="31849B" w:themeColor="accent5" w:themeShade="BF"/>
                            <w:sz w:val="20"/>
                            <w:szCs w:val="20"/>
                            <w:u w:val="single"/>
                          </w:rPr>
                          <w:t>Formes graves:</w:t>
                        </w:r>
                      </w:p>
                      <w:p w:rsidR="00105CF8" w:rsidRPr="0081015B" w:rsidRDefault="00105CF8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ins</w:t>
                        </w:r>
                        <w:r w:rsidR="00C7366B"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uf</w:t>
                        </w:r>
                        <w:proofErr w:type="spellEnd"/>
                        <w:r w:rsidR="00C7366B"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C7366B"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hépatocellulaire,</w:t>
                        </w:r>
                        <w:r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encéphalopathie</w:t>
                        </w:r>
                        <w:proofErr w:type="spellEnd"/>
                        <w:r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C7366B"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,</w:t>
                        </w:r>
                        <w:r w:rsidRPr="0081015B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coma</w:t>
                        </w:r>
                      </w:p>
                      <w:p w:rsidR="00C7366B" w:rsidRPr="006673D9" w:rsidRDefault="00C7366B" w:rsidP="006673D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Atteinte rénale : 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asymptomatique, douleurs lombaires</w:t>
                        </w:r>
                        <w:r w:rsidR="003C24B0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Isolé ou 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associée </w:t>
                        </w:r>
                        <w:r w:rsidR="003970CF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à l’atteinte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hépatique </w:t>
                        </w:r>
                      </w:p>
                      <w:p w:rsidR="003D4B11" w:rsidRDefault="00C7366B" w:rsidP="0081015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pPr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 xml:space="preserve">Complications </w:t>
                        </w:r>
                        <w:proofErr w:type="spellStart"/>
                        <w:r w:rsidRPr="006673D9"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  <w:t>exceptionnelles:</w:t>
                        </w:r>
                        <w:r w:rsidR="003970CF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p</w:t>
                        </w:r>
                        <w:r w:rsidR="003D4B11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ancréatite</w:t>
                        </w:r>
                        <w:proofErr w:type="spellEnd"/>
                        <w:r w:rsidR="003D4B11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aigue</w:t>
                        </w:r>
                      </w:p>
                      <w:p w:rsidR="00C7366B" w:rsidRPr="0081015B" w:rsidRDefault="003970CF" w:rsidP="0081015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ambria Math" w:hAnsi="Cambria Math"/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proofErr w:type="spellStart"/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t</w:t>
                        </w:r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b</w:t>
                        </w:r>
                        <w:proofErr w:type="spellEnd"/>
                        <w:r w:rsidR="00C7366B"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 xml:space="preserve"> cardiaques - </w:t>
                        </w:r>
                        <w:r w:rsidRPr="006673D9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w:t>acidose</w:t>
                        </w:r>
                      </w:p>
                    </w:tc>
                  </w:tr>
                </w:tbl>
                <w:p w:rsidR="00F539CC" w:rsidRDefault="00F539CC" w:rsidP="003970CF">
                  <w:pPr>
                    <w:spacing w:after="0"/>
                    <w:rPr>
                      <w:b/>
                      <w:bCs/>
                    </w:rPr>
                  </w:pPr>
                </w:p>
                <w:p w:rsidR="000B7934" w:rsidRPr="000B7934" w:rsidRDefault="000B7934" w:rsidP="000B7934"/>
                <w:p w:rsidR="000B7934" w:rsidRPr="000B7934" w:rsidRDefault="000B7934" w:rsidP="000B7934"/>
                <w:p w:rsidR="000B7934" w:rsidRDefault="000B7934" w:rsidP="000B7934"/>
                <w:p w:rsidR="00362588" w:rsidRDefault="00362588" w:rsidP="000B7934"/>
                <w:p w:rsidR="00362588" w:rsidRDefault="00362588" w:rsidP="000B7934"/>
                <w:p w:rsidR="00362588" w:rsidRDefault="00362588" w:rsidP="000B7934"/>
                <w:p w:rsidR="00362588" w:rsidRPr="000B7934" w:rsidRDefault="00362588" w:rsidP="000B7934"/>
                <w:p w:rsidR="000B7934" w:rsidRPr="000B7934" w:rsidRDefault="000B7934" w:rsidP="000B7934"/>
                <w:p w:rsidR="000B7934" w:rsidRPr="000B7934" w:rsidRDefault="000B7934" w:rsidP="000B7934"/>
                <w:p w:rsidR="000B7934" w:rsidRDefault="000B7934" w:rsidP="00F65552">
                  <w:pPr>
                    <w:rPr>
                      <w:b/>
                      <w:bCs/>
                    </w:rPr>
                  </w:pPr>
                </w:p>
                <w:p w:rsidR="000B7934" w:rsidRPr="00F65552" w:rsidRDefault="000B7934" w:rsidP="00F65552">
                  <w:pPr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CA3434" w:rsidRDefault="00A41A00">
      <w:r>
        <w:rPr>
          <w:noProof/>
          <w:lang w:eastAsia="fr-FR"/>
        </w:rPr>
        <w:pict>
          <v:rect id="_x0000_s1029" style="position:absolute;margin-left:406.5pt;margin-top:4.75pt;width:82.95pt;height:23.7pt;z-index:251661312">
            <v:textbox style="mso-next-textbox:#_x0000_s1029">
              <w:txbxContent>
                <w:p w:rsidR="00105CF8" w:rsidRPr="003922A5" w:rsidRDefault="00105CF8" w:rsidP="00105C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3922A5">
                    <w:rPr>
                      <w:b/>
                      <w:bCs/>
                      <w:sz w:val="12"/>
                      <w:szCs w:val="12"/>
                    </w:rPr>
                    <w:t>Production de NAPQI possible</w:t>
                  </w:r>
                  <w:r w:rsidRPr="003922A5">
                    <w:rPr>
                      <w:sz w:val="12"/>
                      <w:szCs w:val="12"/>
                    </w:rPr>
                    <w:t> : niveau rénal</w:t>
                  </w:r>
                </w:p>
                <w:p w:rsidR="00105CF8" w:rsidRDefault="00105CF8"/>
              </w:txbxContent>
            </v:textbox>
          </v:rect>
        </w:pict>
      </w:r>
    </w:p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A41A00">
      <w:r>
        <w:rPr>
          <w:noProof/>
          <w:lang w:eastAsia="fr-FR"/>
        </w:rPr>
        <w:pict>
          <v:roundrect id="_x0000_s1031" style="position:absolute;margin-left:323.9pt;margin-top:15.55pt;width:195.85pt;height:157.75pt;z-index:251663360" arcsize="10923f" filled="f" fillcolor="white [3201]" strokecolor="#c0504d [3205]" strokeweight="1pt">
            <v:stroke dashstyle="dash"/>
            <v:shadow color="#868686"/>
            <v:textbox style="mso-next-textbox:#_x0000_s1031">
              <w:txbxContent>
                <w:p w:rsidR="00362588" w:rsidRPr="00EA1344" w:rsidRDefault="00362588" w:rsidP="00A9712A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/>
                    <w:ind w:left="0" w:hanging="76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 w:rsidRPr="00EA1344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Traitement :</w:t>
                  </w:r>
                </w:p>
                <w:p w:rsidR="00362588" w:rsidRPr="00C95CB4" w:rsidRDefault="00362588" w:rsidP="00402182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567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Traitement évacuateur</w:t>
                  </w:r>
                </w:p>
                <w:p w:rsidR="00362588" w:rsidRPr="00C95CB4" w:rsidRDefault="00362588" w:rsidP="00F539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Lavage gastrique</w:t>
                  </w:r>
                  <w:r w:rsidR="00F539CC" w:rsidRPr="00C95CB4">
                    <w:rPr>
                      <w:rFonts w:ascii="Cambria Math" w:hAnsi="Cambria Math"/>
                      <w:sz w:val="20"/>
                      <w:szCs w:val="20"/>
                    </w:rPr>
                    <w:t> : avant  4ème h</w:t>
                  </w:r>
                </w:p>
                <w:p w:rsidR="00F539CC" w:rsidRPr="00C95CB4" w:rsidRDefault="00362588" w:rsidP="00F539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Charbon activé</w:t>
                  </w:r>
                  <w:r w:rsidR="00F539CC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 : VO </w:t>
                  </w:r>
                </w:p>
                <w:p w:rsidR="00F539CC" w:rsidRPr="00C95CB4" w:rsidRDefault="00362588" w:rsidP="00402182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567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 Traitement symptomatique</w:t>
                  </w:r>
                </w:p>
                <w:p w:rsidR="00F539CC" w:rsidRPr="00C95CB4" w:rsidRDefault="00362588" w:rsidP="00F539C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2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Apport hydro-électrolytique</w:t>
                  </w:r>
                </w:p>
                <w:p w:rsidR="00F539CC" w:rsidRPr="00C95CB4" w:rsidRDefault="00F539CC" w:rsidP="00C95CB4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2" w:right="-238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>IR</w:t>
                  </w:r>
                  <w:r w:rsidR="00362588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:</w:t>
                  </w:r>
                  <w:r w:rsid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Perfusion d’électrolytes + </w:t>
                  </w:r>
                  <w:r w:rsidR="00362588" w:rsidRPr="00C95CB4">
                    <w:rPr>
                      <w:rFonts w:ascii="Cambria Math" w:hAnsi="Cambria Math"/>
                      <w:sz w:val="20"/>
                      <w:szCs w:val="20"/>
                    </w:rPr>
                    <w:t>furosémide</w:t>
                  </w:r>
                </w:p>
                <w:p w:rsidR="00F539CC" w:rsidRPr="00C95CB4" w:rsidRDefault="00362588" w:rsidP="005E7DF6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567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Traitement spécifique</w:t>
                  </w:r>
                </w:p>
                <w:p w:rsidR="00F539CC" w:rsidRPr="00C95CB4" w:rsidRDefault="00F539CC" w:rsidP="00C95CB4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-142" w:right="-177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avant 10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w:t>ème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h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="00362588" w:rsidRPr="00C95CB4">
                    <w:rPr>
                      <w:rFonts w:ascii="Cambria Math" w:hAnsi="Cambria Math"/>
                      <w:sz w:val="20"/>
                      <w:szCs w:val="20"/>
                    </w:rPr>
                    <w:t>Prévenir l’atteinte</w:t>
                  </w:r>
                  <w:r w:rsidR="00C95CB4">
                    <w:rPr>
                      <w:rFonts w:ascii="Cambria Math" w:hAnsi="Cambria Math"/>
                      <w:sz w:val="20"/>
                      <w:szCs w:val="20"/>
                    </w:rPr>
                    <w:t>H/R</w:t>
                  </w:r>
                </w:p>
                <w:p w:rsidR="00362588" w:rsidRPr="00C95CB4" w:rsidRDefault="00362588" w:rsidP="00C95CB4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-142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N-</w:t>
                  </w:r>
                  <w:proofErr w:type="spellStart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acétyl</w:t>
                  </w:r>
                  <w:proofErr w:type="spellEnd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cystéine (NAC): </w:t>
                  </w:r>
                  <w:r w:rsidR="00F539CC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VO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ou IV</w:t>
                  </w:r>
                  <w:r w:rsidR="0052582A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(précurseur du </w:t>
                  </w:r>
                  <w:r w:rsidR="0098412A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  G</w:t>
                  </w:r>
                  <w:r w:rsidR="0052582A" w:rsidRPr="00C95CB4">
                    <w:rPr>
                      <w:rFonts w:ascii="Cambria Math" w:hAnsi="Cambria Math"/>
                      <w:sz w:val="20"/>
                      <w:szCs w:val="20"/>
                    </w:rPr>
                    <w:t>lutathion</w:t>
                  </w:r>
                  <w:r w:rsidR="0098412A" w:rsidRPr="00C95CB4">
                    <w:rPr>
                      <w:rFonts w:ascii="Cambria Math" w:hAnsi="Cambria Math"/>
                      <w:sz w:val="20"/>
                      <w:szCs w:val="20"/>
                    </w:rPr>
                    <w:t>)</w:t>
                  </w:r>
                </w:p>
                <w:p w:rsidR="00362588" w:rsidRDefault="00362588"/>
              </w:txbxContent>
            </v:textbox>
          </v:roundrect>
        </w:pict>
      </w:r>
      <w:r>
        <w:rPr>
          <w:noProof/>
          <w:lang w:eastAsia="fr-FR"/>
        </w:rPr>
        <w:pict>
          <v:roundrect id="_x0000_s1030" style="position:absolute;margin-left:117.6pt;margin-top:21.85pt;width:204.05pt;height:469.5pt;z-index:251662336" arcsize="10923f" filled="f" fillcolor="white [3201]" strokecolor="#4bacc6 [3208]" strokeweight="1pt">
            <v:stroke dashstyle="dash"/>
            <v:shadow color="#868686"/>
            <v:textbox style="mso-next-textbox:#_x0000_s1030">
              <w:txbxContent>
                <w:p w:rsidR="002E61EF" w:rsidRPr="00402182" w:rsidRDefault="002E61EF" w:rsidP="00A9712A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/>
                    <w:ind w:left="0" w:hanging="76"/>
                    <w:rPr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</w:pPr>
                  <w:r w:rsidRPr="00EA1344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Diagnostic analytique</w:t>
                  </w:r>
                  <w:r w:rsidRPr="00402182">
                    <w:rPr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 xml:space="preserve"> : </w:t>
                  </w:r>
                </w:p>
                <w:p w:rsidR="002E61EF" w:rsidRPr="002C42DE" w:rsidRDefault="002E61EF" w:rsidP="002E61EF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Diagnostic non spécifique :</w:t>
                  </w:r>
                </w:p>
                <w:p w:rsidR="002E61EF" w:rsidRPr="002C42DE" w:rsidRDefault="002C42DE" w:rsidP="002C42DE">
                  <w:pPr>
                    <w:pStyle w:val="Paragraphedeliste"/>
                    <w:numPr>
                      <w:ilvl w:val="3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0" w:hanging="142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 xml:space="preserve">Bilan </w:t>
                  </w:r>
                  <w:proofErr w:type="spellStart"/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hépatique</w:t>
                  </w:r>
                  <w:r w:rsidR="002E61EF" w:rsidRPr="002C42DE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>Transaminases</w:t>
                  </w:r>
                  <w:proofErr w:type="spellEnd"/>
                  <w:r w:rsidR="002E61EF" w:rsidRPr="002C42DE">
                    <w:rPr>
                      <w:rFonts w:ascii="Cambria Math" w:hAnsi="Cambria Math"/>
                      <w:sz w:val="20"/>
                      <w:szCs w:val="20"/>
                    </w:rPr>
                    <w:t>: 12 à 24 h ,</w:t>
                  </w:r>
                  <w:r w:rsidR="0052582A" w:rsidRPr="002C42DE">
                    <w:rPr>
                      <w:rFonts w:ascii="Cambria Math" w:hAnsi="Cambria Math"/>
                      <w:sz w:val="20"/>
                      <w:szCs w:val="20"/>
                    </w:rPr>
                    <w:t xml:space="preserve">max </w:t>
                  </w:r>
                  <w:r w:rsidR="002E61EF" w:rsidRPr="002C42DE">
                    <w:rPr>
                      <w:rFonts w:ascii="Cambria Math" w:hAnsi="Cambria Math"/>
                      <w:sz w:val="20"/>
                      <w:szCs w:val="20"/>
                    </w:rPr>
                    <w:t xml:space="preserve">3eme </w:t>
                  </w:r>
                  <w:r w:rsidR="0052582A" w:rsidRPr="002C42DE">
                    <w:rPr>
                      <w:rFonts w:ascii="Cambria Math" w:hAnsi="Cambria Math"/>
                      <w:sz w:val="20"/>
                      <w:szCs w:val="20"/>
                    </w:rPr>
                    <w:t>jr</w:t>
                  </w: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 :</w:t>
                  </w:r>
                  <w:r w:rsidR="002E61EF" w:rsidRPr="002C42DE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 xml:space="preserve">Bilirubine , </w:t>
                  </w:r>
                  <w:proofErr w:type="spellStart"/>
                  <w:r w:rsidR="002E61EF" w:rsidRPr="002C42DE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>γGT</w:t>
                  </w:r>
                  <w:proofErr w:type="spellEnd"/>
                </w:p>
                <w:p w:rsidR="002E61EF" w:rsidRPr="002C42DE" w:rsidRDefault="002E61EF" w:rsidP="002E61EF">
                  <w:pPr>
                    <w:pStyle w:val="Paragraphedeliste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0" w:hanging="153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Bilan rénal</w:t>
                  </w:r>
                  <w:r w:rsidRPr="002C42DE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:</w:t>
                  </w: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 xml:space="preserve"> urée, créatinine</w:t>
                  </w:r>
                </w:p>
                <w:p w:rsidR="002E61EF" w:rsidRPr="002C42DE" w:rsidRDefault="002E61EF" w:rsidP="002E61EF">
                  <w:pPr>
                    <w:pStyle w:val="Paragraphedeliste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0" w:hanging="153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Glycémie</w:t>
                  </w:r>
                </w:p>
                <w:p w:rsidR="0052582A" w:rsidRPr="002C42DE" w:rsidRDefault="0052582A" w:rsidP="002E61EF">
                  <w:pPr>
                    <w:pStyle w:val="Paragraphedeliste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0" w:hanging="153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Gaz du sang</w:t>
                  </w:r>
                </w:p>
                <w:p w:rsidR="002E61EF" w:rsidRPr="002C42DE" w:rsidRDefault="002E61EF" w:rsidP="002E61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</w:p>
                <w:p w:rsidR="002E61EF" w:rsidRPr="002C42DE" w:rsidRDefault="002E61EF" w:rsidP="002E61EF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Analyse toxicologique : </w:t>
                  </w:r>
                </w:p>
                <w:p w:rsidR="00362588" w:rsidRPr="002C42DE" w:rsidRDefault="002E61EF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Sérum, p</w:t>
                  </w:r>
                  <w:r w:rsidR="00362588" w:rsidRPr="002C42DE">
                    <w:rPr>
                      <w:rFonts w:ascii="Cambria Math" w:hAnsi="Cambria Math"/>
                      <w:sz w:val="20"/>
                      <w:szCs w:val="20"/>
                    </w:rPr>
                    <w:t>lasma, urines, lavage gastrique</w:t>
                  </w:r>
                </w:p>
                <w:p w:rsidR="00431693" w:rsidRDefault="002E61EF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Spectrophotométrie UV</w:t>
                  </w:r>
                  <w:r w:rsidRPr="002C42DE"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  <w:t>:</w:t>
                  </w:r>
                </w:p>
                <w:p w:rsidR="002E61EF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 xml:space="preserve">Abs </w:t>
                  </w:r>
                  <w:r w:rsidR="002E61EF" w:rsidRPr="002C42DE">
                    <w:rPr>
                      <w:rFonts w:ascii="Cambria Math" w:hAnsi="Cambria Math"/>
                      <w:sz w:val="20"/>
                      <w:szCs w:val="20"/>
                    </w:rPr>
                    <w:t>à 266 nm à 2pH</w:t>
                  </w:r>
                </w:p>
                <w:p w:rsidR="00362588" w:rsidRPr="002C42DE" w:rsidRDefault="00362588" w:rsidP="002E61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Extraction :</w:t>
                  </w:r>
                </w:p>
                <w:p w:rsidR="002E61EF" w:rsidRPr="002C42DE" w:rsidRDefault="00362588" w:rsidP="00362588">
                  <w:pPr>
                    <w:pStyle w:val="Paragraphedeliste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Extraction par mélange alcool-éthéré </w:t>
                  </w:r>
                </w:p>
                <w:p w:rsidR="002E61EF" w:rsidRPr="002C42DE" w:rsidRDefault="002E61EF" w:rsidP="00362588">
                  <w:pPr>
                    <w:pStyle w:val="Paragraphedeliste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résidu sec repris par bicarbonate de Na,</w:t>
                  </w:r>
                </w:p>
                <w:p w:rsidR="002E61EF" w:rsidRPr="002C42DE" w:rsidRDefault="002E61EF" w:rsidP="00362588">
                  <w:pPr>
                    <w:pStyle w:val="Paragraphedeliste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lavage par CHCL 3</w:t>
                  </w:r>
                </w:p>
                <w:p w:rsidR="002E61EF" w:rsidRPr="002C42DE" w:rsidRDefault="002E61EF" w:rsidP="00362588">
                  <w:pPr>
                    <w:pStyle w:val="Paragraphedeliste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 xml:space="preserve">Lecture à 266 nm </w:t>
                  </w:r>
                </w:p>
                <w:p w:rsidR="002E61EF" w:rsidRPr="002C42DE" w:rsidRDefault="00362588" w:rsidP="00362588">
                  <w:pPr>
                    <w:pStyle w:val="Paragraphedeliste"/>
                    <w:numPr>
                      <w:ilvl w:val="0"/>
                      <w:numId w:val="6"/>
                    </w:numPr>
                    <w:ind w:left="284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étalonnage</w:t>
                  </w:r>
                </w:p>
                <w:p w:rsidR="00362588" w:rsidRPr="002C42DE" w:rsidRDefault="002E61EF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Méthode colorimétrique</w:t>
                  </w:r>
                  <w:r w:rsidR="00362588"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 :</w:t>
                  </w:r>
                </w:p>
                <w:p w:rsidR="002E61EF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2165853" cy="1128889"/>
                        <wp:effectExtent l="0" t="0" r="0" b="0"/>
                        <wp:docPr id="5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contrast="-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6780" cy="1134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588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</w:p>
                <w:p w:rsidR="00362588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 xml:space="preserve"> Méthode chromatographiques :</w:t>
                  </w:r>
                </w:p>
                <w:p w:rsidR="00362588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HPLC,CPG : dérivation/ acétylation</w:t>
                  </w:r>
                </w:p>
                <w:p w:rsidR="00362588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très sensible : 0,1 mg/l.</w:t>
                  </w:r>
                </w:p>
                <w:p w:rsidR="00AB33BD" w:rsidRPr="002C42DE" w:rsidRDefault="00AB33BD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</w:p>
                <w:p w:rsidR="00362588" w:rsidRPr="002C42DE" w:rsidRDefault="00362588" w:rsidP="003625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  <w:t>FPIA</w:t>
                  </w:r>
                </w:p>
                <w:p w:rsidR="00362588" w:rsidRPr="002C42DE" w:rsidRDefault="00362588" w:rsidP="00362588">
                  <w:pPr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2C42DE">
                    <w:rPr>
                      <w:rFonts w:ascii="Cambria Math" w:hAnsi="Cambria Math"/>
                      <w:sz w:val="20"/>
                      <w:szCs w:val="20"/>
                    </w:rPr>
                    <w:t>Sensibilité de 0,7 mg/l</w:t>
                  </w:r>
                </w:p>
                <w:p w:rsidR="002E61EF" w:rsidRDefault="002E61EF"/>
              </w:txbxContent>
            </v:textbox>
          </v:roundrect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70.05pt;margin-top:21.85pt;width:192.9pt;height:475.4pt;z-index:251667456" filled="f" stroked="f">
            <v:textbox style="mso-next-textbox:#_x0000_s1037">
              <w:txbxContent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/>
                    <w:ind w:left="0" w:hanging="76"/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</w:pPr>
                  <w:r w:rsidRPr="00EA1344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Evolution</w:t>
                  </w:r>
                  <w:r w:rsidRPr="0081015B">
                    <w:rPr>
                      <w:rFonts w:ascii="Cambria Math" w:hAnsi="Cambria Math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 </w:t>
                  </w:r>
                  <w:r w:rsidRPr="0081015B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>: favorable :</w:t>
                  </w:r>
                </w:p>
                <w:p w:rsidR="0081015B" w:rsidRPr="0081015B" w:rsidRDefault="0081015B" w:rsidP="004F6DA0">
                  <w:pPr>
                    <w:spacing w:after="0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régénération </w:t>
                  </w:r>
                  <w:proofErr w:type="spellStart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hépatiquetotale</w:t>
                  </w:r>
                  <w:proofErr w:type="spellEnd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 : </w:t>
                  </w:r>
                  <w:proofErr w:type="spellStart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qlq</w:t>
                  </w:r>
                  <w:proofErr w:type="spellEnd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semaines.</w:t>
                  </w:r>
                </w:p>
                <w:p w:rsidR="0081015B" w:rsidRPr="00EA1344" w:rsidRDefault="0081015B" w:rsidP="004F6DA0">
                  <w:pPr>
                    <w:pStyle w:val="Paragraphedeliste"/>
                    <w:numPr>
                      <w:ilvl w:val="0"/>
                      <w:numId w:val="12"/>
                    </w:numPr>
                    <w:tabs>
                      <w:tab w:val="left" w:pos="142"/>
                    </w:tabs>
                    <w:spacing w:after="0"/>
                    <w:ind w:left="0" w:hanging="76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 w:rsidRPr="00EA1344"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Facteurs pronostiques :</w:t>
                  </w: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créatininémie :</w:t>
                  </w:r>
                </w:p>
                <w:p w:rsidR="0081015B" w:rsidRPr="0081015B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&gt; 300μmol/L 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atteinte rénale </w:t>
                  </w:r>
                </w:p>
                <w:p w:rsidR="0081015B" w:rsidRPr="004F6DA0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Sévérité des </w:t>
                  </w:r>
                  <w:proofErr w:type="spellStart"/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tb</w:t>
                  </w:r>
                  <w:proofErr w:type="spellEnd"/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 précoces de coagulation : </w:t>
                  </w:r>
                </w:p>
                <w:p w:rsidR="0081015B" w:rsidRPr="0081015B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V &lt; 10 %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évolution favorable à 95 %</w:t>
                  </w:r>
                </w:p>
                <w:p w:rsidR="0081015B" w:rsidRPr="004F6DA0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Acidose métabolique :</w:t>
                  </w:r>
                </w:p>
                <w:p w:rsidR="0081015B" w:rsidRPr="0081015B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pH&lt; 7,30 après 24 h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survie 15 % </w:t>
                  </w:r>
                </w:p>
                <w:p w:rsidR="0081015B" w:rsidRPr="004F6DA0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Age , degré d’encéphalopathie</w:t>
                  </w:r>
                </w:p>
                <w:p w:rsidR="0081015B" w:rsidRPr="004F6DA0" w:rsidRDefault="0081015B" w:rsidP="004F6DA0">
                  <w:pPr>
                    <w:pStyle w:val="Paragraphedeliste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rFonts w:ascii="Cambria Math" w:hAnsi="Cambria Math"/>
                      <w:b/>
                      <w:bCs/>
                      <w:color w:val="009999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Dose ingérée : 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n&gt; 6 g : risque hépatite cytolytique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       Adulte : risque létal à partir de 10 g</w:t>
                  </w:r>
                </w:p>
                <w:p w:rsidR="0081015B" w:rsidRPr="004F6DA0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proofErr w:type="spellStart"/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Paracétamolémie</w:t>
                  </w:r>
                  <w:proofErr w:type="spellEnd"/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> :</w:t>
                  </w:r>
                </w:p>
                <w:p w:rsid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Meilleur indicateur de  gravité </w:t>
                  </w:r>
                  <w:r>
                    <w:rPr>
                      <w:rFonts w:ascii="Cambria Math" w:hAnsi="Cambria Math"/>
                      <w:sz w:val="20"/>
                      <w:szCs w:val="20"/>
                    </w:rPr>
                    <w:t>d’intox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"/>
                    <w:rPr>
                      <w:rFonts w:ascii="Cambria Math" w:hAnsi="Cambria Math"/>
                      <w:b/>
                      <w:bCs/>
                      <w:color w:val="009999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(4-16h)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&gt; 120 mg/l au 4 </w:t>
                  </w:r>
                  <w:proofErr w:type="spellStart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ème</w:t>
                  </w:r>
                  <w:proofErr w:type="spellEnd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h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toxicité 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&gt; 50 mg/l au 12 </w:t>
                  </w:r>
                  <w:proofErr w:type="spellStart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ème</w:t>
                  </w:r>
                  <w:proofErr w:type="spellEnd"/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h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toxicité</w:t>
                  </w:r>
                </w:p>
                <w:p w:rsidR="0081015B" w:rsidRDefault="0081015B" w:rsidP="004F6DA0">
                  <w:pPr>
                    <w:spacing w:after="0"/>
                    <w:rPr>
                      <w:rFonts w:ascii="Cambria Math" w:hAnsi="Cambria Math"/>
                      <w:sz w:val="10"/>
                      <w:szCs w:val="1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&gt; 200 mg/l au 4ème heure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hépatite</w:t>
                  </w:r>
                  <w:r>
                    <w:rPr>
                      <w:rFonts w:ascii="Cambria Math" w:hAnsi="Cambria Math"/>
                      <w:sz w:val="20"/>
                      <w:szCs w:val="20"/>
                    </w:rPr>
                    <w:t xml:space="preserve"> G</w:t>
                  </w:r>
                </w:p>
                <w:p w:rsidR="004F6DA0" w:rsidRPr="004F6DA0" w:rsidRDefault="004F6DA0" w:rsidP="004F6DA0">
                  <w:pPr>
                    <w:spacing w:after="0"/>
                    <w:rPr>
                      <w:rFonts w:ascii="Cambria Math" w:hAnsi="Cambria Math"/>
                      <w:sz w:val="10"/>
                      <w:szCs w:val="10"/>
                    </w:rPr>
                  </w:pPr>
                </w:p>
                <w:p w:rsidR="0081015B" w:rsidRPr="0081015B" w:rsidRDefault="0081015B" w:rsidP="004F6DA0">
                  <w:pPr>
                    <w:pStyle w:val="Paragraphedeliste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142" w:hanging="153"/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</w:pPr>
                  <w:r w:rsidRPr="0081015B">
                    <w:rPr>
                      <w:rFonts w:ascii="Cambria Math" w:hAnsi="Cambria Math"/>
                      <w:b/>
                      <w:bCs/>
                      <w:color w:val="00B050"/>
                      <w:sz w:val="20"/>
                      <w:szCs w:val="20"/>
                      <w:u w:val="single"/>
                    </w:rPr>
                    <w:t xml:space="preserve">½ vie plasmatique : 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>Ca</w:t>
                  </w:r>
                  <w:r>
                    <w:rPr>
                      <w:rFonts w:ascii="Cambria Math" w:hAnsi="Cambria Math"/>
                      <w:sz w:val="20"/>
                      <w:szCs w:val="20"/>
                    </w:rPr>
                    <w:t xml:space="preserve">lculée après mesure de cc sur 2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prélèvements Successifs : </w:t>
                  </w:r>
                </w:p>
                <w:p w:rsidR="0081015B" w:rsidRPr="0081015B" w:rsidRDefault="0081015B" w:rsidP="004F6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 T1/2 &gt; 4 h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hépatite cytolytique</w:t>
                  </w:r>
                </w:p>
                <w:p w:rsidR="0081015B" w:rsidRPr="002E61EF" w:rsidRDefault="0081015B" w:rsidP="004F6DA0">
                  <w:pPr>
                    <w:spacing w:after="0"/>
                  </w:pP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 T1/2 vie &gt; 10 h </w:t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81015B">
                    <w:rPr>
                      <w:rFonts w:ascii="Cambria Math" w:hAnsi="Cambria Math"/>
                      <w:sz w:val="20"/>
                      <w:szCs w:val="20"/>
                    </w:rPr>
                    <w:t xml:space="preserve"> Atteinte sévère</w:t>
                  </w:r>
                </w:p>
                <w:p w:rsidR="0081015B" w:rsidRDefault="0081015B" w:rsidP="004F6DA0">
                  <w:pPr>
                    <w:spacing w:after="0"/>
                  </w:pPr>
                </w:p>
              </w:txbxContent>
            </v:textbox>
          </v:shape>
        </w:pict>
      </w:r>
    </w:p>
    <w:p w:rsidR="00CA3434" w:rsidRDefault="00CA3434"/>
    <w:p w:rsidR="00CA3434" w:rsidRDefault="00A41A00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72.6pt;margin-top:20.65pt;width:.9pt;height:10.65pt;flip:y;z-index:251668480" o:connectortype="straight">
            <v:stroke endarrow="block"/>
          </v:shape>
        </w:pict>
      </w:r>
    </w:p>
    <w:p w:rsidR="00CA3434" w:rsidRDefault="00CA3434"/>
    <w:p w:rsidR="00CA3434" w:rsidRDefault="00CA3434"/>
    <w:p w:rsidR="00CA3434" w:rsidRDefault="00CA3434"/>
    <w:p w:rsidR="00CA3434" w:rsidRDefault="00CA3434"/>
    <w:p w:rsidR="00CA3434" w:rsidRDefault="00A41A00">
      <w:r>
        <w:rPr>
          <w:noProof/>
          <w:lang w:eastAsia="fr-FR"/>
        </w:rPr>
        <w:pict>
          <v:roundrect id="_x0000_s1032" style="position:absolute;margin-left:324.6pt;margin-top:20pt;width:197.5pt;height:203.2pt;z-index:251664384" arcsize="10923f" fillcolor="white [3201]" strokecolor="#9bbb59 [3206]" strokeweight="1pt">
            <v:stroke dashstyle="dash"/>
            <v:shadow color="#868686"/>
            <v:textbox style="mso-next-textbox:#_x0000_s1032">
              <w:txbxContent>
                <w:p w:rsidR="00B05F25" w:rsidRPr="00C95CB4" w:rsidRDefault="00B05F25" w:rsidP="00B05F2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2" w:right="-131"/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>Protocole de prise en charge :</w:t>
                  </w:r>
                </w:p>
                <w:p w:rsidR="00B05F25" w:rsidRPr="00C95CB4" w:rsidRDefault="00B05F25" w:rsidP="00A54A66">
                  <w:pPr>
                    <w:pStyle w:val="Paragraphedeliste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273" w:hanging="180"/>
                    <w:rPr>
                      <w:rFonts w:ascii="Cambria Math" w:hAnsi="Cambria Math"/>
                      <w:sz w:val="20"/>
                      <w:szCs w:val="20"/>
                    </w:rPr>
                  </w:pPr>
                  <w:proofErr w:type="spellStart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Adm</w:t>
                  </w:r>
                  <w:proofErr w:type="spellEnd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charbon activé : </w:t>
                  </w:r>
                  <w:r w:rsidR="00A54A66">
                    <w:rPr>
                      <w:rFonts w:ascii="Cambria Math" w:hAnsi="Cambria Math"/>
                      <w:sz w:val="20"/>
                      <w:szCs w:val="20"/>
                    </w:rPr>
                    <w:t xml:space="preserve"> 50 g (1g/kg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l’enfant)</w:t>
                  </w:r>
                </w:p>
                <w:p w:rsidR="00B05F25" w:rsidRPr="00C95CB4" w:rsidRDefault="00B05F25" w:rsidP="00B05F25">
                  <w:pPr>
                    <w:pStyle w:val="Paragraphedeliste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131" w:hanging="180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Prélèvement sanguin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dosage de paracétamol</w:t>
                  </w:r>
                </w:p>
                <w:p w:rsidR="00B05F25" w:rsidRPr="00C95CB4" w:rsidRDefault="00B05F25" w:rsidP="00B05F25">
                  <w:pPr>
                    <w:pStyle w:val="Paragraphedeliste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131" w:hanging="180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Débuter  NAC IV si </w:t>
                  </w:r>
                  <w:proofErr w:type="spellStart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paracétamolémie</w:t>
                  </w:r>
                  <w:proofErr w:type="spellEnd"/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&gt;  ligne du risque :</w:t>
                  </w:r>
                </w:p>
                <w:p w:rsidR="00B05F25" w:rsidRPr="00C95CB4" w:rsidRDefault="00B05F25" w:rsidP="00B05F25">
                  <w:pPr>
                    <w:pStyle w:val="Paragraphedeliste"/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131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Utiliser ligne du risque possible en cas d’imprécision sur l’horaire exact de l’ingestion ou répéter dosage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déterminer T1/2</w:t>
                  </w:r>
                </w:p>
                <w:p w:rsidR="00B05F25" w:rsidRPr="00C95CB4" w:rsidRDefault="00B05F25" w:rsidP="00B05F25">
                  <w:pPr>
                    <w:pStyle w:val="Paragraphedeliste"/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131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Indication de NAC si ½ vie &gt; 4 heures</w:t>
                  </w:r>
                </w:p>
                <w:p w:rsidR="00B05F25" w:rsidRPr="00C95CB4" w:rsidRDefault="00B05F25" w:rsidP="000F67EA">
                  <w:pPr>
                    <w:pStyle w:val="Paragraphedeliste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142" w:right="-131" w:hanging="153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>absen</w:t>
                  </w:r>
                  <w:r w:rsidR="000F67EA" w:rsidRPr="00C95CB4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 xml:space="preserve">ce de dosage disponible avant </w:t>
                  </w:r>
                  <w:r w:rsidRPr="00C95CB4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 xml:space="preserve">10eme </w:t>
                  </w:r>
                  <w:r w:rsidR="000F67EA" w:rsidRPr="00C95CB4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 xml:space="preserve">h </w:t>
                  </w:r>
                  <w:r w:rsidR="000F67EA" w:rsidRPr="00C95CB4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débuter</w:t>
                  </w:r>
                  <w:r w:rsidR="000F67EA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NAC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si</w:t>
                  </w:r>
                  <w:r w:rsidR="000F67EA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 :  </w:t>
                  </w:r>
                  <w:proofErr w:type="spellStart"/>
                  <w:r w:rsidR="000F67EA" w:rsidRPr="00C95CB4">
                    <w:rPr>
                      <w:rFonts w:ascii="Cambria Math" w:hAnsi="Cambria Math"/>
                      <w:sz w:val="20"/>
                      <w:szCs w:val="20"/>
                    </w:rPr>
                    <w:t>doseing</w:t>
                  </w:r>
                  <w:proofErr w:type="spellEnd"/>
                  <w:r w:rsidR="000F67EA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&gt;= 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 175 mg/kg</w:t>
                  </w:r>
                </w:p>
                <w:p w:rsidR="000F67EA" w:rsidRPr="00C95CB4" w:rsidRDefault="000F67EA" w:rsidP="000F67E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2" w:right="-131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si  paracétamol &lt; seuil d’hépato-toxicité</w:t>
                  </w:r>
                </w:p>
                <w:p w:rsidR="00B05F25" w:rsidRPr="00C95CB4" w:rsidRDefault="000F67EA" w:rsidP="000F67E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2" w:right="-131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t>perfusion</w:t>
                  </w:r>
                  <w:r w:rsidRPr="00C95CB4">
                    <w:rPr>
                      <w:rFonts w:ascii="Cambria Math" w:hAnsi="Cambria Math"/>
                      <w:sz w:val="20"/>
                      <w:szCs w:val="20"/>
                    </w:rPr>
                    <w:sym w:font="Wingdings" w:char="F0E0"/>
                  </w:r>
                  <w:r w:rsidR="00B05F25" w:rsidRPr="00C95CB4">
                    <w:rPr>
                      <w:rFonts w:ascii="Cambria Math" w:hAnsi="Cambria Math"/>
                      <w:sz w:val="20"/>
                      <w:szCs w:val="20"/>
                    </w:rPr>
                    <w:t xml:space="preserve">arrêtée </w:t>
                  </w:r>
                </w:p>
                <w:p w:rsidR="00F539CC" w:rsidRDefault="00F539CC"/>
              </w:txbxContent>
            </v:textbox>
          </v:roundrect>
        </w:pict>
      </w:r>
    </w:p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CA3434"/>
    <w:p w:rsidR="00CA3434" w:rsidRDefault="00A41A00">
      <w:r>
        <w:rPr>
          <w:noProof/>
          <w:lang w:eastAsia="fr-FR"/>
        </w:rPr>
        <w:pict>
          <v:shape id="_x0000_s1040" type="#_x0000_t202" style="position:absolute;margin-left:-66.1pt;margin-top:21.4pt;width:179pt;height:112.05pt;z-index:251669504" strokecolor="#00b0f0" strokeweight=".5pt">
            <v:stroke dashstyle="1 1" endcap="round"/>
            <v:textbox>
              <w:txbxContent>
                <w:p w:rsidR="004F6DA0" w:rsidRDefault="004F6DA0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b/>
                      <w:bCs/>
                      <w:color w:val="FF0000"/>
                      <w:sz w:val="16"/>
                      <w:szCs w:val="16"/>
                      <w:u w:val="single"/>
                      <w:lang w:eastAsia="fr-FR"/>
                    </w:rPr>
                  </w:pPr>
                  <w:r w:rsidRPr="004F6DA0">
                    <w:rPr>
                      <w:rFonts w:ascii="Arial" w:eastAsia="Verdana" w:hAnsi="Arial" w:cs="Arial"/>
                      <w:b/>
                      <w:bCs/>
                      <w:color w:val="FF0000"/>
                      <w:sz w:val="16"/>
                      <w:szCs w:val="16"/>
                      <w:u w:val="single"/>
                      <w:lang w:eastAsia="fr-FR"/>
                    </w:rPr>
                    <w:t>PHYSIPATOLOGIE :</w:t>
                  </w:r>
                </w:p>
                <w:p w:rsidR="00D900E4" w:rsidRPr="00D900E4" w:rsidRDefault="00D900E4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b/>
                      <w:bCs/>
                      <w:color w:val="FF0000"/>
                      <w:sz w:val="6"/>
                      <w:szCs w:val="6"/>
                      <w:u w:val="single"/>
                      <w:lang w:eastAsia="fr-FR"/>
                    </w:rPr>
                  </w:pPr>
                </w:p>
                <w:p w:rsidR="004F6DA0" w:rsidRPr="004F6DA0" w:rsidRDefault="004F6DA0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color w:val="auto"/>
                      <w:sz w:val="16"/>
                      <w:szCs w:val="16"/>
                      <w:lang w:eastAsia="fr-FR"/>
                    </w:rPr>
                  </w:pPr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-Voie principale du métabolisme saturée (GSH surconsommé et réserves en GSH réduites)</w:t>
                  </w:r>
                </w:p>
                <w:p w:rsidR="004F6DA0" w:rsidRPr="004F6DA0" w:rsidRDefault="004F6DA0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</w:pPr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 xml:space="preserve">-Accumulation de NAPQI, métabolite électrophile très réactif non </w:t>
                  </w:r>
                  <w:proofErr w:type="spellStart"/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détoxifié</w:t>
                  </w:r>
                  <w:proofErr w:type="spellEnd"/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.</w:t>
                  </w:r>
                </w:p>
                <w:p w:rsidR="004F6DA0" w:rsidRPr="004F6DA0" w:rsidRDefault="004F6DA0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</w:pPr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-Liaison covalente avec les macromolécules de l’hépatocyte.</w:t>
                  </w:r>
                </w:p>
                <w:p w:rsidR="004F6DA0" w:rsidRPr="004F6DA0" w:rsidRDefault="004F6DA0" w:rsidP="004F6DA0">
                  <w:pPr>
                    <w:tabs>
                      <w:tab w:val="left" w:pos="894"/>
                    </w:tabs>
                    <w:spacing w:after="0" w:line="230" w:lineRule="auto"/>
                    <w:ind w:right="440"/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</w:pPr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 xml:space="preserve">-Nécrose hépatique à prédominance </w:t>
                  </w:r>
                  <w:proofErr w:type="spellStart"/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centro</w:t>
                  </w:r>
                  <w:proofErr w:type="spellEnd"/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-lobulaire</w:t>
                  </w:r>
                </w:p>
                <w:p w:rsidR="004F6DA0" w:rsidRPr="004F6DA0" w:rsidRDefault="004F6DA0" w:rsidP="004F6DA0">
                  <w:pPr>
                    <w:rPr>
                      <w:sz w:val="16"/>
                      <w:szCs w:val="16"/>
                    </w:rPr>
                  </w:pPr>
                  <w:r w:rsidRPr="004F6DA0">
                    <w:rPr>
                      <w:rFonts w:ascii="Arial" w:eastAsia="Verdana" w:hAnsi="Arial" w:cs="Arial"/>
                      <w:sz w:val="16"/>
                      <w:szCs w:val="16"/>
                      <w:lang w:eastAsia="fr-FR"/>
                    </w:rPr>
                    <w:t>-Production de NAPQI possible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roundrect id="_x0000_s1033" style="position:absolute;margin-left:323.4pt;margin-top:21.4pt;width:199pt;height:112.05pt;z-index:251665408" arcsize="10923f" fillcolor="white [3201]" strokecolor="#4f81bd [3204]" strokeweight="1pt">
            <v:stroke dashstyle="dash"/>
            <v:shadow color="#868686"/>
            <v:textbox>
              <w:txbxContent>
                <w:p w:rsidR="000F67EA" w:rsidRPr="00947837" w:rsidRDefault="000F67EA" w:rsidP="009478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>Protocole d’</w:t>
                  </w:r>
                  <w:proofErr w:type="spellStart"/>
                  <w:r w:rsidRPr="00947837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>adm</w:t>
                  </w:r>
                  <w:proofErr w:type="spellEnd"/>
                  <w:r w:rsidRPr="00947837">
                    <w:rPr>
                      <w:rFonts w:ascii="Cambria Math" w:hAnsi="Cambria Math"/>
                      <w:b/>
                      <w:bCs/>
                      <w:color w:val="9966FF"/>
                      <w:sz w:val="20"/>
                      <w:szCs w:val="20"/>
                    </w:rPr>
                    <w:t xml:space="preserve"> de NAC : 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color w:val="C00000"/>
                      <w:sz w:val="20"/>
                      <w:szCs w:val="20"/>
                      <w:lang w:val="en-US"/>
                    </w:rPr>
                  </w:pPr>
                  <w:r w:rsidRPr="00947837">
                    <w:rPr>
                      <w:rFonts w:ascii="Cambria Math" w:hAnsi="Cambria Math"/>
                      <w:b/>
                      <w:bCs/>
                      <w:color w:val="C00000"/>
                      <w:sz w:val="20"/>
                      <w:szCs w:val="20"/>
                      <w:lang w:val="en-US"/>
                    </w:rPr>
                    <w:t xml:space="preserve">• </w:t>
                  </w:r>
                  <w:proofErr w:type="spellStart"/>
                  <w:r w:rsidRPr="00947837">
                    <w:rPr>
                      <w:rFonts w:ascii="Cambria Math" w:hAnsi="Cambria Math"/>
                      <w:b/>
                      <w:bCs/>
                      <w:color w:val="C00000"/>
                      <w:sz w:val="20"/>
                      <w:szCs w:val="20"/>
                      <w:lang w:val="en-US"/>
                    </w:rPr>
                    <w:t>fluimucil</w:t>
                  </w:r>
                  <w:proofErr w:type="spellEnd"/>
                  <w:r w:rsidRPr="00947837">
                    <w:rPr>
                      <w:rFonts w:ascii="Cambria Math" w:hAnsi="Cambria Math"/>
                      <w:b/>
                      <w:bCs/>
                      <w:color w:val="C00000"/>
                      <w:sz w:val="20"/>
                      <w:szCs w:val="20"/>
                      <w:lang w:val="en-US"/>
                    </w:rPr>
                    <w:t> : flacon 5 g /25 ml : IV :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–</w:t>
                  </w:r>
                  <w:r w:rsid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 150 mg/kg  </w:t>
                  </w:r>
                  <w:proofErr w:type="spellStart"/>
                  <w:r w:rsidR="00947837">
                    <w:rPr>
                      <w:rFonts w:ascii="Cambria Math" w:hAnsi="Cambria Math"/>
                      <w:sz w:val="20"/>
                      <w:szCs w:val="20"/>
                    </w:rPr>
                    <w:t>d</w:t>
                  </w: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s</w:t>
                  </w:r>
                  <w:proofErr w:type="spellEnd"/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 250 ml de G 5% </w:t>
                  </w:r>
                  <w:r w:rsidRPr="00947837"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  <w:t>en 1 h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77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– </w:t>
                  </w:r>
                  <w:r w:rsidR="0098412A"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Puis </w:t>
                  </w: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50 mg/</w:t>
                  </w:r>
                  <w:proofErr w:type="spellStart"/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kg</w:t>
                  </w:r>
                  <w:r w:rsidR="00947837">
                    <w:rPr>
                      <w:rFonts w:ascii="Cambria Math" w:hAnsi="Cambria Math"/>
                      <w:sz w:val="20"/>
                      <w:szCs w:val="20"/>
                    </w:rPr>
                    <w:t>ds</w:t>
                  </w:r>
                  <w:proofErr w:type="spellEnd"/>
                  <w:r w:rsid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 500ml de G 5% en 4h 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– </w:t>
                  </w:r>
                  <w:r w:rsidR="0098412A"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Puis </w:t>
                  </w: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100 mg/kg dans 1000 ml de G 5% en 16 h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 xml:space="preserve">• Pas de CI en grossesse </w:t>
                  </w:r>
                </w:p>
                <w:p w:rsidR="000F67EA" w:rsidRPr="00947837" w:rsidRDefault="000F67EA" w:rsidP="00947837">
                  <w:pPr>
                    <w:tabs>
                      <w:tab w:val="left" w:pos="560"/>
                    </w:tabs>
                    <w:spacing w:line="240" w:lineRule="auto"/>
                    <w:rPr>
                      <w:rFonts w:ascii="Cambria Math" w:hAnsi="Cambria Math"/>
                      <w:sz w:val="20"/>
                      <w:szCs w:val="20"/>
                    </w:rPr>
                  </w:pPr>
                  <w:r w:rsidRPr="00947837">
                    <w:rPr>
                      <w:rFonts w:ascii="Cambria Math" w:hAnsi="Cambria Math"/>
                      <w:sz w:val="20"/>
                      <w:szCs w:val="20"/>
                    </w:rPr>
                    <w:t>• Même protocole chez l’enfant</w:t>
                  </w:r>
                </w:p>
                <w:p w:rsidR="000F67EA" w:rsidRDefault="000F67EA"/>
              </w:txbxContent>
            </v:textbox>
          </v:roundrect>
        </w:pict>
      </w:r>
    </w:p>
    <w:p w:rsidR="00CA3434" w:rsidRDefault="00CA3434"/>
    <w:p w:rsidR="00402182" w:rsidRDefault="00402182"/>
    <w:sectPr w:rsidR="00402182" w:rsidSect="00190A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1D4"/>
    <w:multiLevelType w:val="hybridMultilevel"/>
    <w:tmpl w:val="07ACBC06"/>
    <w:lvl w:ilvl="0" w:tplc="E39684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05E38"/>
    <w:multiLevelType w:val="hybridMultilevel"/>
    <w:tmpl w:val="58008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82670"/>
    <w:multiLevelType w:val="hybridMultilevel"/>
    <w:tmpl w:val="BDF865D2"/>
    <w:lvl w:ilvl="0" w:tplc="8C562FD6">
      <w:start w:val="1"/>
      <w:numFmt w:val="bullet"/>
      <w:lvlText w:val="­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370B2"/>
    <w:multiLevelType w:val="hybridMultilevel"/>
    <w:tmpl w:val="78D4E2CA"/>
    <w:lvl w:ilvl="0" w:tplc="8C562FD6">
      <w:start w:val="1"/>
      <w:numFmt w:val="bullet"/>
      <w:lvlText w:val="­"/>
      <w:lvlJc w:val="left"/>
      <w:pPr>
        <w:ind w:left="862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200FEE"/>
    <w:multiLevelType w:val="hybridMultilevel"/>
    <w:tmpl w:val="0672AF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F39DD"/>
    <w:multiLevelType w:val="hybridMultilevel"/>
    <w:tmpl w:val="13A4C8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F6360"/>
    <w:multiLevelType w:val="hybridMultilevel"/>
    <w:tmpl w:val="2BAA97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35C59"/>
    <w:multiLevelType w:val="hybridMultilevel"/>
    <w:tmpl w:val="13005F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46EB0C8">
      <w:start w:val="16"/>
      <w:numFmt w:val="bullet"/>
      <w:lvlText w:val="-"/>
      <w:lvlJc w:val="left"/>
      <w:pPr>
        <w:ind w:left="1440" w:hanging="360"/>
      </w:pPr>
      <w:rPr>
        <w:rFonts w:ascii="Kalinga" w:eastAsiaTheme="minorHAnsi" w:hAnsi="Kalinga" w:cs="Kaling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DA1D36"/>
    <w:multiLevelType w:val="hybridMultilevel"/>
    <w:tmpl w:val="86724E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57C855C">
      <w:start w:val="16"/>
      <w:numFmt w:val="bullet"/>
      <w:lvlText w:val="•"/>
      <w:lvlJc w:val="left"/>
      <w:pPr>
        <w:ind w:left="1440" w:hanging="360"/>
      </w:pPr>
      <w:rPr>
        <w:rFonts w:ascii="Kalinga" w:eastAsiaTheme="minorHAnsi" w:hAnsi="Kalinga" w:cs="Kaling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742D1F"/>
    <w:multiLevelType w:val="hybridMultilevel"/>
    <w:tmpl w:val="957C5102"/>
    <w:lvl w:ilvl="0" w:tplc="EEB41DE8">
      <w:start w:val="16"/>
      <w:numFmt w:val="bullet"/>
      <w:lvlText w:val="•"/>
      <w:lvlJc w:val="left"/>
      <w:pPr>
        <w:ind w:left="720" w:hanging="360"/>
      </w:pPr>
      <w:rPr>
        <w:rFonts w:ascii="Kalinga" w:eastAsiaTheme="minorHAnsi" w:hAnsi="Kalinga" w:cs="Kaling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A1C25"/>
    <w:multiLevelType w:val="hybridMultilevel"/>
    <w:tmpl w:val="F142292E"/>
    <w:lvl w:ilvl="0" w:tplc="040C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1">
    <w:nsid w:val="6C5E179A"/>
    <w:multiLevelType w:val="hybridMultilevel"/>
    <w:tmpl w:val="FFC85732"/>
    <w:lvl w:ilvl="0" w:tplc="7B1C6D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999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3434"/>
    <w:rsid w:val="00073A8E"/>
    <w:rsid w:val="00076588"/>
    <w:rsid w:val="000B7934"/>
    <w:rsid w:val="000F67EA"/>
    <w:rsid w:val="00105CF8"/>
    <w:rsid w:val="00150041"/>
    <w:rsid w:val="00180B1E"/>
    <w:rsid w:val="00183F68"/>
    <w:rsid w:val="00190AAC"/>
    <w:rsid w:val="002C42DE"/>
    <w:rsid w:val="002E61EF"/>
    <w:rsid w:val="00362588"/>
    <w:rsid w:val="003922A5"/>
    <w:rsid w:val="003970CF"/>
    <w:rsid w:val="003B0C41"/>
    <w:rsid w:val="003C24B0"/>
    <w:rsid w:val="003D4B11"/>
    <w:rsid w:val="00402182"/>
    <w:rsid w:val="0041621F"/>
    <w:rsid w:val="00431693"/>
    <w:rsid w:val="004C7878"/>
    <w:rsid w:val="004F6DA0"/>
    <w:rsid w:val="0052582A"/>
    <w:rsid w:val="005C729D"/>
    <w:rsid w:val="005E07E9"/>
    <w:rsid w:val="005E7DF6"/>
    <w:rsid w:val="006673D9"/>
    <w:rsid w:val="0066770B"/>
    <w:rsid w:val="006F6351"/>
    <w:rsid w:val="0081015B"/>
    <w:rsid w:val="00814ACA"/>
    <w:rsid w:val="00947837"/>
    <w:rsid w:val="0098412A"/>
    <w:rsid w:val="009A2C3B"/>
    <w:rsid w:val="00A41A00"/>
    <w:rsid w:val="00A54A66"/>
    <w:rsid w:val="00A9712A"/>
    <w:rsid w:val="00AB33BD"/>
    <w:rsid w:val="00B05F25"/>
    <w:rsid w:val="00B6435A"/>
    <w:rsid w:val="00B9513E"/>
    <w:rsid w:val="00C22457"/>
    <w:rsid w:val="00C7366B"/>
    <w:rsid w:val="00C95CB4"/>
    <w:rsid w:val="00CA3434"/>
    <w:rsid w:val="00D900E4"/>
    <w:rsid w:val="00E50110"/>
    <w:rsid w:val="00EA1344"/>
    <w:rsid w:val="00F51DB6"/>
    <w:rsid w:val="00F539CC"/>
    <w:rsid w:val="00F65552"/>
    <w:rsid w:val="00F9400C"/>
    <w:rsid w:val="00FC5363"/>
    <w:rsid w:val="00FF6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linga" w:eastAsiaTheme="minorHAnsi" w:hAnsi="Kalinga" w:cs="Kalinga"/>
        <w:color w:val="000000"/>
        <w:sz w:val="14"/>
        <w:szCs w:val="1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A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55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65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2017-04-19T19:30:00Z</cp:lastPrinted>
  <dcterms:created xsi:type="dcterms:W3CDTF">2017-04-19T19:29:00Z</dcterms:created>
  <dcterms:modified xsi:type="dcterms:W3CDTF">2017-04-19T19:31:00Z</dcterms:modified>
</cp:coreProperties>
</file>